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inline distB="114300" distT="114300" distL="114300" distR="114300">
            <wp:extent cx="5731200" cy="4902200"/>
            <wp:effectExtent b="0" l="0" r="0" t="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Intermediate Grades Lesson 5 Handout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b w:val="1"/>
          <w:color w:val="e98300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98300"/>
          <w:sz w:val="28"/>
          <w:szCs w:val="28"/>
          <w:rtl w:val="0"/>
        </w:rPr>
        <w:t xml:space="preserve">How to be an Upstander!</w:t>
      </w:r>
    </w:p>
    <w:p w:rsidR="00000000" w:rsidDel="00000000" w:rsidP="00000000" w:rsidRDefault="00000000" w:rsidRPr="00000000" w14:paraId="00000004">
      <w:pPr>
        <w:spacing w:line="240" w:lineRule="auto"/>
        <w:jc w:val="left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left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1038225</wp:posOffset>
            </wp:positionH>
            <wp:positionV relativeFrom="page">
              <wp:posOffset>1114425</wp:posOffset>
            </wp:positionV>
            <wp:extent cx="5486400" cy="2790825"/>
            <wp:effectExtent b="0" l="0" r="0" t="0"/>
            <wp:wrapTopAndBottom distB="114300" distT="11430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790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Work Sans" w:cs="Work Sans" w:eastAsia="Work Sans" w:hAnsi="Work Sans"/>
          <w:b w:val="1"/>
          <w:color w:val="e98300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98300"/>
          <w:sz w:val="24"/>
          <w:szCs w:val="24"/>
          <w:rtl w:val="0"/>
        </w:rPr>
        <w:t xml:space="preserve">Case Study: What Would You Do?</w:t>
      </w:r>
    </w:p>
    <w:p w:rsidR="00000000" w:rsidDel="00000000" w:rsidP="00000000" w:rsidRDefault="00000000" w:rsidRPr="00000000" w14:paraId="00000007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42.56" w:type="dxa"/>
        <w:tblBorders>
          <w:top w:color="e98300" w:space="0" w:sz="18" w:val="single"/>
          <w:left w:color="e98300" w:space="0" w:sz="18" w:val="single"/>
          <w:bottom w:color="e98300" w:space="0" w:sz="18" w:val="single"/>
          <w:right w:color="e98300" w:space="0" w:sz="18" w:val="single"/>
          <w:insideH w:color="e98300" w:space="0" w:sz="18" w:val="single"/>
          <w:insideV w:color="e98300" w:space="0" w:sz="1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2550" w:hRule="atLeast"/>
        </w:trPr>
        <w:tc>
          <w:tcPr>
            <w:shd w:fill="e98300" w:val="clear"/>
            <w:tcMar>
              <w:top w:w="142.56" w:type="dxa"/>
              <w:left w:w="142.56" w:type="dxa"/>
              <w:bottom w:w="142.56" w:type="dxa"/>
              <w:right w:w="142.56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0" w:right="440" w:firstLine="0"/>
              <w:jc w:val="center"/>
              <w:rPr>
                <w:rFonts w:ascii="Work Sans" w:cs="Work Sans" w:eastAsia="Work Sans" w:hAnsi="Work Sans"/>
                <w:b w:val="1"/>
                <w:i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i w:val="1"/>
                <w:color w:val="ffffff"/>
                <w:sz w:val="24"/>
                <w:szCs w:val="24"/>
                <w:rtl w:val="0"/>
              </w:rPr>
              <w:t xml:space="preserve">In a remote learning (online) classroom setting, </w:t>
              <w:br w:type="textWrapping"/>
              <w:t xml:space="preserve">Lorne’s class is having a discussion and everyone’s cameras are on. 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left="0" w:right="440" w:firstLine="0"/>
              <w:jc w:val="center"/>
              <w:rPr>
                <w:rFonts w:ascii="Work Sans Regular" w:cs="Work Sans Regular" w:eastAsia="Work Sans Regular" w:hAnsi="Work Sans Regular"/>
                <w:i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ind w:left="0" w:right="440" w:firstLine="0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i w:val="1"/>
                <w:color w:val="ffffff"/>
                <w:sz w:val="24"/>
                <w:szCs w:val="24"/>
                <w:rtl w:val="0"/>
              </w:rPr>
              <w:t xml:space="preserve">It becomes evident to his peers that Lorne’s room has outdated furniture and poor-quality Wi-Fi. Annie notices and chuckles, saying “Hey Lorne, do you live in a shack?”. This is a situation of cyberbullying. If you were in this virtual classroom setting, how would you proceed?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ind w:left="0" w:firstLine="0"/>
        <w:rPr>
          <w:rFonts w:ascii="Work Sans" w:cs="Work Sans" w:eastAsia="Work Sans" w:hAnsi="Work Sans"/>
          <w:b w:val="1"/>
          <w:color w:val="e983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30.0" w:type="dxa"/>
        <w:jc w:val="left"/>
        <w:tblInd w:w="-5.0" w:type="dxa"/>
        <w:tblBorders>
          <w:top w:color="e98300" w:space="0" w:sz="18" w:val="single"/>
          <w:left w:color="e98300" w:space="0" w:sz="18" w:val="single"/>
          <w:bottom w:color="e98300" w:space="0" w:sz="18" w:val="single"/>
          <w:right w:color="e98300" w:space="0" w:sz="18" w:val="single"/>
          <w:insideH w:color="e98300" w:space="0" w:sz="18" w:val="single"/>
          <w:insideV w:color="e98300" w:space="0" w:sz="18" w:val="single"/>
        </w:tblBorders>
        <w:tblLayout w:type="fixed"/>
        <w:tblLook w:val="0600"/>
      </w:tblPr>
      <w:tblGrid>
        <w:gridCol w:w="9030"/>
        <w:tblGridChange w:id="0">
          <w:tblGrid>
            <w:gridCol w:w="90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color w:val="e983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color w:val="e983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color w:val="e983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color w:val="e983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color w:val="e983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ind w:left="0" w:firstLine="0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98300"/>
          <w:sz w:val="24"/>
          <w:szCs w:val="24"/>
          <w:rtl w:val="0"/>
        </w:rPr>
        <w:t xml:space="preserve">Responding to Cyberbullying 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</w:rPr>
        <w:drawing>
          <wp:anchor allowOverlap="1" behindDoc="0" distB="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1348580</wp:posOffset>
            </wp:positionV>
            <wp:extent cx="5731200" cy="1422400"/>
            <wp:effectExtent b="0" l="0" r="0" t="0"/>
            <wp:wrapTopAndBottom distB="0" distT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jc w:val="left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before="24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Never confront a bully who is a stranger, either in person or online. Instead, tell a parent/guardian or trusted adult.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before="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Don’t respond to or engage in arguments online. Getting involved can blur the lines and make it hard to ﬁgure out who’s in the wrong.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before="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Save screenshots of bullying messages/posts and report them to a parent/guardian or trusted adult so they can help you do something about it.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If cyberbullying occurs during the school year, report it to your teacher, the principal and/or school administrators.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For unwanted text messages or phone calls, most cellphones have a “block number” function. For unwanted messages on social media platforms or downloaded apps, report instances of cyberbullying directly to the corresponding social media or application Help Centre/Customer Care.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Report criminal offences (e.g., threats, assaults, harassment and exploitation) to local police.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lineRule="auto"/>
        <w:ind w:left="720" w:hanging="36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Always tell someone – no one is in this alone! Consult a trusted adult who can advocate for you. </w:t>
      </w:r>
    </w:p>
    <w:p w:rsidR="00000000" w:rsidDel="00000000" w:rsidP="00000000" w:rsidRDefault="00000000" w:rsidRPr="00000000" w14:paraId="0000001A">
      <w:pPr>
        <w:spacing w:after="240" w:before="0" w:lineRule="auto"/>
        <w:ind w:left="0" w:firstLine="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0" w:lineRule="auto"/>
        <w:ind w:left="0" w:firstLine="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0" w:lineRule="auto"/>
        <w:ind w:left="0" w:firstLine="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1381125</wp:posOffset>
            </wp:positionH>
            <wp:positionV relativeFrom="page">
              <wp:posOffset>1285875</wp:posOffset>
            </wp:positionV>
            <wp:extent cx="4791075" cy="2085975"/>
            <wp:effectExtent b="0" l="0" r="0" t="0"/>
            <wp:wrapTopAndBottom distB="114300" distT="114300"/>
            <wp:docPr id="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8637" r="780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085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spacing w:line="240" w:lineRule="auto"/>
      <w:rPr>
        <w:rFonts w:ascii="Work Sans" w:cs="Work Sans" w:eastAsia="Work Sans" w:hAnsi="Work Sans"/>
        <w:b w:val="1"/>
        <w:color w:val="e983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F3BE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F3BE2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image" Target="media/image4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kKbV57QwScdevo8o45BjeqtHkQ==">AMUW2mVh2aezDMKk4iXTMXWLXp+DiPNuJyIogWnNBQ+BjwBTkALannIi/qIMPTiRiMo+MvrcRw9cMh4PKqM97JZ1HmermElouZ+eR4FnLiw55Wo52reyEHU=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2020-11-19T18:16:00Z</dcterms:created>
  <dc:creator>Cate</dc:creator>
</cp:coreProperties>
</file>