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995160" cy="5814159"/>
            <wp:effectExtent b="0" l="0" r="0" t="0"/>
            <wp:wrapSquare wrapText="bothSides" distB="114300" distT="114300" distL="114300" distR="11430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95160" cy="581415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 </w:t>
        <w:br w:type="textWrapping"/>
        <w:t xml:space="preserve">Lesson 3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8"/>
          <w:szCs w:val="28"/>
          <w:rtl w:val="0"/>
        </w:rPr>
        <w:t xml:space="preserve">Safe</w:t>
      </w:r>
      <w:r w:rsidDel="00000000" w:rsidR="00000000" w:rsidRPr="00000000">
        <w:rPr>
          <w:rFonts w:ascii="Work Sans" w:cs="Work Sans" w:eastAsia="Work Sans" w:hAnsi="Work Sans"/>
          <w:b w:val="1"/>
          <w:i w:val="1"/>
          <w:color w:val="007ac9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8"/>
          <w:szCs w:val="28"/>
          <w:rtl w:val="0"/>
        </w:rPr>
        <w:t xml:space="preserve">Communication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259.2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11587.320000000003" w:hRule="atLeast"/>
        </w:trPr>
        <w:tc>
          <w:tcPr>
            <w:tcBorders>
              <w:top w:color="007ac9" w:space="0" w:sz="18" w:val="single"/>
              <w:left w:color="007ac9" w:space="0" w:sz="18" w:val="single"/>
              <w:bottom w:color="007ac9" w:space="0" w:sz="18" w:val="single"/>
              <w:right w:color="007ac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666666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highlight w:val="white"/>
                <w:rtl w:val="0"/>
              </w:rPr>
              <w:t xml:space="preserve">Write a Friendly Email to your Pen-Pal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highlight w:val="white"/>
                <w:rtl w:val="0"/>
              </w:rPr>
              <w:t xml:space="preserve">Success Criteria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" w:cs="Work Sans" w:eastAsia="Work Sans" w:hAnsi="Work Sans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highlight w:val="whit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" w:cs="Work Sans" w:eastAsia="Work Sans" w:hAnsi="Work Sans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highlight w:val="whit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Work Sans" w:cs="Work Sans" w:eastAsia="Work Sans" w:hAnsi="Work Sans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36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pict>
                <v:rect style="width:0.0pt;height:1.5pt" o:hr="t" o:hrstd="t" o:hralign="center" fillcolor="#A0A0A0" stroked="f"/>
              </w:pic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ZpSylRNjWuAw/SpugrJHBZCDBg==">AMUW2mUdPL4CLalFDHYJFDcTIdanSPMw15WNHYGgWGr7OSVSQXuUaYK7DOzySHuM0HFemAbCkOMi/WFNFd1fDka0pSS7ejL9ZRogeQKCeJJ1dt5HYpHZxyC6Y8/R4WGz/ReI5kz1NxaDQOikgA6Uh1/8zc0KnUKwJw==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